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9E6595" w:rsidRPr="009E6595" w:rsidRDefault="009E6595" w:rsidP="009E65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9E6595" w:rsidRPr="009E6595" w:rsidRDefault="009E6595" w:rsidP="009E65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к южной стороне земельного участка по улице Молодежная, д. 23.</w:t>
            </w:r>
          </w:p>
          <w:p w:rsidR="009E6595" w:rsidRPr="009E6595" w:rsidRDefault="009E6595" w:rsidP="009E65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9E6595" w:rsidRPr="009E6595" w:rsidRDefault="009E6595" w:rsidP="009E65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9E6595" w:rsidRPr="009E6595" w:rsidRDefault="009E6595" w:rsidP="009E65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9E6595" w:rsidP="009E6595">
            <w:pPr>
              <w:jc w:val="both"/>
              <w:rPr>
                <w:rFonts w:ascii="Times New Roman" w:hAnsi="Times New Roman" w:cs="Times New Roman"/>
              </w:rPr>
            </w:pPr>
            <w:r w:rsidRPr="009E6595">
              <w:rPr>
                <w:rFonts w:ascii="Times New Roman" w:eastAsia="Calibri" w:hAnsi="Times New Roman" w:cs="Times New Roman"/>
              </w:rPr>
              <w:t>Кадастровый номер 74:10:0316004:472.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950A71" w:rsidRPr="00783723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7D8F">
              <w:rPr>
                <w:rFonts w:ascii="Times New Roman" w:hAnsi="Times New Roman" w:cs="Times New Roman"/>
                <w:b/>
              </w:rPr>
              <w:t>7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7D8F">
              <w:rPr>
                <w:rFonts w:ascii="Times New Roman" w:hAnsi="Times New Roman" w:cs="Times New Roman"/>
                <w:b/>
              </w:rPr>
              <w:t>6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57D8F">
              <w:rPr>
                <w:rFonts w:ascii="Times New Roman" w:hAnsi="Times New Roman"/>
                <w:b/>
              </w:rPr>
              <w:t>6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E57D8F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E57D8F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 w:rsidR="00FD7E97"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9E6595" w:rsidP="004E289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40 083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сорок тысяч восемьдесят три)  руб. 00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9E6595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1 202 (одна тысяча двести два) руб. 49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9E6595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12 024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двадцать четыре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90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3723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9E6595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57D8F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7E9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119</cp:revision>
  <cp:lastPrinted>2024-12-16T06:16:00Z</cp:lastPrinted>
  <dcterms:created xsi:type="dcterms:W3CDTF">2023-07-20T06:34:00Z</dcterms:created>
  <dcterms:modified xsi:type="dcterms:W3CDTF">2024-12-16T06:16:00Z</dcterms:modified>
</cp:coreProperties>
</file>